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15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律师事务所考核合格公示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河南恩达律师事务所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河南强人律师事务所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河南长风律师事务所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河南汇星律师事务所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河南信博律师事务所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河南九九律师事务所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河南永力律师事务所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河南蓝标律师事务所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河南强正律师事务所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河南思维律师事务所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河南可速律师事务所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河南高尚律师事务所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河南沙澧律师事务所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河南明悟律师事务所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河南凌威律师事务所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河南德优律师事务所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河南知尚律师事务所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河南顺意律师事务所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河南帝豪律师事务所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河南厚凡律师事务所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河南强兴律师事务所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河南依伦律师事务所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河南银海律师事务所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河南首问律师事务所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河南华表律师事务所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河南开瑞律师事务所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河南金勉律师事务所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河南信鼎律师事务所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河南澜业律师事务所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河南诸格律师事务所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河南沣玺律师事务所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河南许慎律师事务所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河南平允律师事务所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河南展骥律师事务所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河南孙东晓律师事务所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河南圣兴律师事务所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河南汇恒律师事务所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河南速捷律师事务所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  <w:t>河南汇恒（临颍）律师事务所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700" w:firstLineChars="200"/>
        <w:jc w:val="both"/>
        <w:textAlignment w:val="auto"/>
        <w:rPr>
          <w:rFonts w:hint="eastAsia" w:ascii="仿宋" w:hAnsi="仿宋" w:eastAsia="仿宋" w:cs="仿宋"/>
          <w:color w:val="333333"/>
          <w:spacing w:val="15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437A0"/>
    <w:rsid w:val="3EAB0813"/>
    <w:rsid w:val="F5FD0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一炮巡河</cp:lastModifiedBy>
  <dcterms:modified xsi:type="dcterms:W3CDTF">2024-06-04T08:13:49Z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21D010ABDDB04845863C98149C0DA678_13</vt:lpwstr>
  </property>
</Properties>
</file>